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CD" w:rsidRDefault="00DC00CD">
      <w:r w:rsidRPr="00DC00CD">
        <w:t>216 719,00</w:t>
      </w:r>
    </w:p>
    <w:tbl>
      <w:tblPr>
        <w:tblW w:w="3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3660"/>
      </w:tblGrid>
      <w:tr w:rsidR="00DC00CD" w:rsidRPr="00DC00CD" w:rsidTr="00DC00CD">
        <w:trPr>
          <w:gridAfter w:val="1"/>
        </w:trPr>
        <w:tc>
          <w:tcPr>
            <w:tcW w:w="2500" w:type="pct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 w:rsidTr="00DC00CD">
        <w:tc>
          <w:tcPr>
            <w:tcW w:w="0" w:type="auto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МУНИЦИПАЛЬНОЕ КАЗЕННОЕ УЧРЕЖДЕНИЕ КУЛЬТУРЫ "ДОМ КУЛЬТУРЫ С.П. ЛАШКУТА"</w:t>
            </w:r>
          </w:p>
        </w:tc>
      </w:tr>
      <w:tr w:rsidR="00DC00CD" w:rsidRPr="00DC00CD" w:rsidTr="00DC00CD"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833D0102</w:t>
            </w:r>
          </w:p>
        </w:tc>
      </w:tr>
      <w:tr w:rsidR="00DC00CD" w:rsidRPr="00DC00CD" w:rsidTr="00DC00CD"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710006600</w:t>
            </w:r>
          </w:p>
        </w:tc>
      </w:tr>
      <w:tr w:rsidR="00DC00CD" w:rsidRPr="00DC00CD" w:rsidTr="00DC00CD"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71001001</w:t>
            </w:r>
          </w:p>
        </w:tc>
      </w:tr>
      <w:tr w:rsidR="00DC00CD" w:rsidRPr="00DC00CD" w:rsidTr="00DC00CD"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2017</w:t>
            </w:r>
          </w:p>
        </w:tc>
      </w:tr>
      <w:tr w:rsidR="00DC00CD" w:rsidRPr="00DC00CD" w:rsidTr="00DC00CD">
        <w:tc>
          <w:tcPr>
            <w:tcW w:w="0" w:type="auto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>Сформировано</w:t>
            </w:r>
          </w:p>
        </w:tc>
        <w:tc>
          <w:tcPr>
            <w:tcW w:w="0" w:type="auto"/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Учреждением - МУНИЦИПАЛЬНОЕ КАЗЕННОЕ УЧРЕЖДЕНИЕ КУЛЬТУРЫ "ДОМ КУЛЬТУРЫ С.П. ЛАШКУТА"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br/>
              <w:t>ИНН 710006600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br/>
              <w:t>КПП 71001001</w:t>
            </w:r>
          </w:p>
        </w:tc>
      </w:tr>
    </w:tbl>
    <w:p w:rsidR="00DC00CD" w:rsidRPr="00DC00CD" w:rsidRDefault="00DC00CD" w:rsidP="00DC00CD">
      <w:pPr>
        <w:spacing w:before="232"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8"/>
        <w:gridCol w:w="2927"/>
      </w:tblGrid>
      <w:tr w:rsidR="00DC00CD" w:rsidRPr="00DC00CD">
        <w:tc>
          <w:tcPr>
            <w:tcW w:w="3900" w:type="pct"/>
            <w:vAlign w:val="center"/>
            <w:hideMark/>
          </w:tcPr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4"/>
              <w:gridCol w:w="2884"/>
            </w:tblGrid>
            <w:tr w:rsidR="00DC00CD" w:rsidRPr="00DC00CD" w:rsidTr="00DC00CD">
              <w:tc>
                <w:tcPr>
                  <w:tcW w:w="0" w:type="auto"/>
                  <w:gridSpan w:val="2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center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на 01 января 2018 г. </w:t>
                  </w:r>
                </w:p>
              </w:tc>
            </w:tr>
            <w:tr w:rsidR="00DC00CD" w:rsidRPr="00DC00CD" w:rsidTr="00DC00CD">
              <w:tc>
                <w:tcPr>
                  <w:tcW w:w="2750" w:type="pct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      </w:r>
                </w:p>
              </w:tc>
              <w:tc>
                <w:tcPr>
                  <w:tcW w:w="2250" w:type="pct"/>
                  <w:tcMar>
                    <w:top w:w="15" w:type="dxa"/>
                    <w:left w:w="232" w:type="dxa"/>
                    <w:bottom w:w="15" w:type="dxa"/>
                    <w:right w:w="15" w:type="dxa"/>
                  </w:tcMar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  <w:t>МУНИЦИПАЛЬНОЕ КАЗЕННОЕ УЧРЕЖДЕНИЕ КУЛЬТУРЫ "ДОМ КУЛЬТУРЫ С.П. ЛАШКУТА"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hideMark/>
                </w:tcPr>
                <w:p w:rsidR="00DC00CD" w:rsidRPr="00DC00CD" w:rsidRDefault="00DC00CD" w:rsidP="00DC00C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  <w:t xml:space="preserve">Бюджет сельского поселения </w:t>
                  </w:r>
                  <w:proofErr w:type="spellStart"/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  <w:t>Лашкута</w:t>
                  </w:r>
                  <w:proofErr w:type="spellEnd"/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Эльбрусского муниципального района Кабардино-Балкарской Республики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gridSpan w:val="2"/>
                  <w:vAlign w:val="center"/>
                  <w:hideMark/>
                </w:tcPr>
                <w:p w:rsidR="00DC00CD" w:rsidRPr="00DC00CD" w:rsidRDefault="00DC00CD" w:rsidP="00DC00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lastRenderedPageBreak/>
                    <w:t xml:space="preserve">Периодичность: годовая 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gridSpan w:val="2"/>
                  <w:vAlign w:val="center"/>
                  <w:hideMark/>
                </w:tcPr>
                <w:p w:rsidR="00DC00CD" w:rsidRPr="00DC00CD" w:rsidRDefault="00DC00CD" w:rsidP="00DC00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Единица измерения: руб.</w:t>
                  </w:r>
                </w:p>
              </w:tc>
            </w:tr>
          </w:tbl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4"/>
              <w:gridCol w:w="1743"/>
            </w:tblGrid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lastRenderedPageBreak/>
                    <w:t xml:space="preserve">Форма по ОКУД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0503121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01.01.2018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по ОКПО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05457655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0710006600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Глава по 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703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по ОКТМО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83648420101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C00CD" w:rsidRPr="00DC00CD" w:rsidTr="00DC00C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16" w:type="dxa"/>
                  </w:tcMar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jc w:val="right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 xml:space="preserve">по ОКЕИ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00CD" w:rsidRPr="00DC00CD" w:rsidRDefault="00DC00CD" w:rsidP="00DC00CD">
                  <w:pPr>
                    <w:spacing w:before="232" w:after="0" w:line="240" w:lineRule="auto"/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</w:pPr>
                  <w:r w:rsidRPr="00DC00CD">
                    <w:rPr>
                      <w:rFonts w:ascii="Arial" w:eastAsia="Times New Roman" w:hAnsi="Arial" w:cs="Arial"/>
                      <w:color w:val="4A4A4A"/>
                      <w:sz w:val="28"/>
                      <w:szCs w:val="28"/>
                      <w:lang w:eastAsia="ru-RU"/>
                    </w:rPr>
                    <w:t>383</w:t>
                  </w:r>
                </w:p>
              </w:tc>
            </w:tr>
          </w:tbl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DC00CD" w:rsidRPr="00DC00CD" w:rsidRDefault="00DC00CD" w:rsidP="00DC00CD">
      <w:pPr>
        <w:spacing w:before="232"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905"/>
        <w:gridCol w:w="883"/>
        <w:gridCol w:w="1826"/>
        <w:gridCol w:w="1900"/>
        <w:gridCol w:w="767"/>
      </w:tblGrid>
      <w:tr w:rsidR="00DC00CD" w:rsidRPr="00DC00CD">
        <w:trPr>
          <w:tblHeader/>
        </w:trPr>
        <w:tc>
          <w:tcPr>
            <w:tcW w:w="2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Код по КОСГУ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Бюджетная деятельность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Средства во временном распоряжении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szCs w:val="28"/>
                <w:lang w:eastAsia="ru-RU"/>
              </w:rPr>
              <w:t>Итого</w:t>
            </w: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</w:t>
            </w: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Доходы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 020 + стр. 030 + стр. 040 + стр. 050 + стр. 060 + стр. 080 + стр. 090 + стр. 100 + стр. 110</w:t>
            </w:r>
            <w:proofErr w:type="gramStart"/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Суммы принудительного изъятия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поступления от других бюджетов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061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 xml:space="preserve">поступления от наднациональных организаций и правительств иностранных государств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063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Взносы на социальные нужды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Доходы по операциям с активами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доходы от реализации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Прочие доходы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Расходы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 160 + стр. 170 + стр. 190 + стр. 210 + стр. 230 + стр. 240 + стр. 260 + стр. 270 + стр. 280)</w:t>
            </w:r>
            <w:proofErr w:type="gram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Приобретение работ, услуг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обслуживание внешнего долга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безвозмездные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Безвозмездные перечисления бюджетам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чрезвычайные расходы по операциям с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активами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263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Прочие расходы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Чистый операционный результат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 291 - стр. 292 + стр. 303); (стр. 310 + стр. 380)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Операционный результат до налогообложения (стр. 010 - стр. 150)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Операции с нефинансовыми активами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 320 + стр. 330 + стр. 350 + стр. 360 + стр. 370)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увеличение стоимости основных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уменьшение стоимости основных средств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 xml:space="preserve">Чистое поступление </w:t>
            </w:r>
            <w:proofErr w:type="spellStart"/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непроизведенных</w:t>
            </w:r>
            <w:proofErr w:type="spellEnd"/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увеличение стоимости </w:t>
            </w:r>
            <w:proofErr w:type="spellStart"/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непроизведенных</w:t>
            </w:r>
            <w:proofErr w:type="spellEnd"/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уменьшение стоимости </w:t>
            </w:r>
            <w:proofErr w:type="spellStart"/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непроизведенны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х</w:t>
            </w:r>
            <w:proofErr w:type="spellEnd"/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352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Чистое поступление материальных запасов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Операции с финансовыми активами и обязательствами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(стр.390 – стр.510)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lastRenderedPageBreak/>
              <w:t xml:space="preserve">Операции с финансовыми активами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(стр. 410 + стр. 420 + стр. 440 + стр. 460 + стр. 470 + стр. 480)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поступление средств на счета бюджетов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поступления на счета бюджетов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выбытия со счетов бюджетов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поступление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уменьшение стоимости ценных бумаг,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кроме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422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Чистое поступление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стоимости акций и иных форм участия в капитале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предоставление бюджетных кредитов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задолженности по бюджетным кредитам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уменьшение задолженности по бюджетным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ссудам и кредитам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462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232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увеличение прочей дебиторской задолженности (кроме бюджетных кредитов)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top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b/>
                <w:bCs/>
                <w:color w:val="4A4A4A"/>
                <w:sz w:val="28"/>
                <w:lang w:eastAsia="ru-RU"/>
              </w:rPr>
              <w:t xml:space="preserve">Операции с обязательствами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(стр. 520 + стр. 530 + стр. 540)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510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lastRenderedPageBreak/>
              <w:t>Чистое увеличение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увеличение задолженности по внешнему государственному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 xml:space="preserve">увеличение задолженности по внешнему </w:t>
            </w: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государственному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531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lastRenderedPageBreak/>
              <w:t>уменьшение задолженности по внешнему государственному долгу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i/>
                <w:iCs/>
                <w:color w:val="4A4A4A"/>
                <w:sz w:val="28"/>
                <w:szCs w:val="2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277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dotted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  <w:tr w:rsidR="00DC00CD" w:rsidRPr="00DC00CD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813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  <w:r w:rsidRPr="00DC00CD"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5" w:type="dxa"/>
              <w:bottom w:w="46" w:type="dxa"/>
              <w:right w:w="15" w:type="dxa"/>
            </w:tcMar>
            <w:vAlign w:val="bottom"/>
            <w:hideMark/>
          </w:tcPr>
          <w:p w:rsidR="00DC00CD" w:rsidRPr="00DC00CD" w:rsidRDefault="00DC00CD" w:rsidP="00DC00CD">
            <w:pPr>
              <w:spacing w:before="232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E60BAC" w:rsidRDefault="00E60BAC"/>
    <w:sectPr w:rsidR="00E60BAC" w:rsidSect="00DC00CD">
      <w:pgSz w:w="11906" w:h="16838"/>
      <w:pgMar w:top="1134" w:right="850" w:bottom="1134" w:left="1701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DC00CD"/>
    <w:rsid w:val="00DC00CD"/>
    <w:rsid w:val="00E6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0C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C0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1105</Words>
  <Characters>6301</Characters>
  <Application>Microsoft Office Word</Application>
  <DocSecurity>0</DocSecurity>
  <Lines>52</Lines>
  <Paragraphs>14</Paragraphs>
  <ScaleCrop>false</ScaleCrop>
  <Company>Home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2018-04-11T09:30:00Z</dcterms:created>
  <dcterms:modified xsi:type="dcterms:W3CDTF">2018-04-11T09:33:00Z</dcterms:modified>
</cp:coreProperties>
</file>